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8" w:rsidRDefault="00572EE8" w:rsidP="00572E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2EE8">
        <w:rPr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EB" w:rsidRPr="008873EB" w:rsidRDefault="008873EB" w:rsidP="0088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8873E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</w:t>
      </w:r>
      <w:proofErr w:type="spellEnd"/>
      <w:r w:rsidRPr="008873E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: 72 региона достигли целевого значения </w:t>
      </w:r>
    </w:p>
    <w:p w:rsidR="008873EB" w:rsidRPr="008873EB" w:rsidRDefault="008873EB" w:rsidP="0088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873E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доле решений об отказе в кадастровом учете недвижимости</w:t>
      </w:r>
    </w:p>
    <w:p w:rsidR="008873EB" w:rsidRPr="008873EB" w:rsidRDefault="008873EB" w:rsidP="008873E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873EB" w:rsidRPr="008873EB" w:rsidRDefault="008873EB" w:rsidP="0088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целевой модели «Постановка на кадастровый учёт земельных участков и объектов недвижимого имущества»* в первом полугодии 2020 года целевых значений показателей, установленных на 1 января 2021 года, достигли 72 региона по доле решений об отказе в кадастровом учете и 69 субъектов – по доле решений о приостановлении.</w:t>
      </w:r>
    </w:p>
    <w:p w:rsidR="008873EB" w:rsidRPr="008873EB" w:rsidRDefault="008873EB" w:rsidP="0088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по стране за период с января по июнь</w:t>
      </w:r>
      <w:proofErr w:type="gramEnd"/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доля решений о приостановлении в кадастровом учёте, в том числе с одновременной регистрацией прав, составила 10% и об отказе – 4,39%, что значительно лучше целевых значений (15% и 7% соответственно). Эти показатели позволяют оценить профессионализм участников кадастрового учета.</w:t>
      </w:r>
    </w:p>
    <w:p w:rsidR="008873EB" w:rsidRPr="008873EB" w:rsidRDefault="008873EB" w:rsidP="0088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Алтай, Пермский край, Волгоградская, Тамбовская, Ульяновская и Псковская области смогли показать лучшую динамику снижения доли решений о приостановлении в кадастровом учёте (с учётом единой процедуры) – около 5% и более. Такую же динамику снижения решений об отказе в кадастровом учёте показала Республика Саха (Якутия).</w:t>
      </w:r>
    </w:p>
    <w:p w:rsidR="008873EB" w:rsidRPr="008873EB" w:rsidRDefault="008873EB" w:rsidP="0088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целевых моделей регионами способствует снятию регуляторных ограничений при ведении бизнеса, улучшению инвестиционного климата и совершенствованию учётно-регистрационной сферы. В целевых моделях по регистрации прав и кадастровому учёту учтены все шаги, с которыми предприниматели сталкиваются при приобретении и оформлении недвижимого имущества, а также основные потребности бизнеса. </w:t>
      </w:r>
    </w:p>
    <w:p w:rsidR="008873EB" w:rsidRPr="008873EB" w:rsidRDefault="008873EB" w:rsidP="0088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информационной системы «</w:t>
      </w:r>
      <w:proofErr w:type="spellStart"/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>Region-ID</w:t>
      </w:r>
      <w:proofErr w:type="spellEnd"/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за первое полугодие 2020 года в регионах страны средний процент достижения показателей целевой модели по кадастровому учёту, установленных </w:t>
      </w:r>
      <w:proofErr w:type="gramStart"/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</w:t>
      </w:r>
      <w:proofErr w:type="gramEnd"/>
      <w:r w:rsidRPr="00887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года, составил 74%. Только в 5 из 85 субъектов РФ процент реализации целевой модели составил 90% и более. Лидеры - Амурская, Калужская, Саратовская, Тюменская области и Ямало-Ненецкий автономный округ.</w:t>
      </w:r>
    </w:p>
    <w:p w:rsidR="008873EB" w:rsidRDefault="008873EB" w:rsidP="00887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873EB">
        <w:rPr>
          <w:rFonts w:ascii="Times New Roman" w:eastAsia="Times New Roman" w:hAnsi="Times New Roman" w:cs="Times New Roman"/>
          <w:i/>
          <w:iCs/>
          <w:lang w:eastAsia="ru-RU"/>
        </w:rPr>
        <w:t xml:space="preserve">* Целевая модель «Постановка на кадастровый учет земельных участков и объектов недвижимого имущества» разработана по поручению Президента России и утверждена распоряжением Правительства Российской Федерации от 31 января 2017 года № 147-р.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страны. К таким направлениям, в том числе относятся кадастровый учёт и регистрации прав на недвижимое имущество, поэтому по ним также созданы соответствующие модели. Субъекты РФ принимают участие в реализации целевых </w:t>
      </w:r>
      <w:proofErr w:type="gramStart"/>
      <w:r w:rsidRPr="008873EB">
        <w:rPr>
          <w:rFonts w:ascii="Times New Roman" w:eastAsia="Times New Roman" w:hAnsi="Times New Roman" w:cs="Times New Roman"/>
          <w:i/>
          <w:iCs/>
          <w:lang w:eastAsia="ru-RU"/>
        </w:rPr>
        <w:t>моделей упрощения процедур ведения бизнеса</w:t>
      </w:r>
      <w:proofErr w:type="gramEnd"/>
      <w:r w:rsidRPr="008873EB">
        <w:rPr>
          <w:rFonts w:ascii="Times New Roman" w:eastAsia="Times New Roman" w:hAnsi="Times New Roman" w:cs="Times New Roman"/>
          <w:i/>
          <w:iCs/>
          <w:lang w:eastAsia="ru-RU"/>
        </w:rPr>
        <w:t xml:space="preserve"> и повышения инвестиционной привлекательности с февраля 2017 г. </w:t>
      </w:r>
    </w:p>
    <w:p w:rsidR="00860EA9" w:rsidRPr="008873EB" w:rsidRDefault="00860EA9" w:rsidP="00887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2EE8" w:rsidRPr="008873EB" w:rsidRDefault="00572EE8" w:rsidP="00572E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873EB">
        <w:rPr>
          <w:rFonts w:ascii="Times New Roman" w:hAnsi="Times New Roman" w:cs="Times New Roman"/>
          <w:sz w:val="26"/>
          <w:szCs w:val="26"/>
        </w:rPr>
        <w:t>Управление Федеральной службы</w:t>
      </w:r>
    </w:p>
    <w:p w:rsidR="00572EE8" w:rsidRPr="00572EE8" w:rsidRDefault="00572EE8" w:rsidP="008873EB">
      <w:pPr>
        <w:spacing w:after="0" w:line="240" w:lineRule="auto"/>
        <w:ind w:firstLine="708"/>
        <w:jc w:val="right"/>
        <w:rPr>
          <w:sz w:val="28"/>
          <w:szCs w:val="28"/>
        </w:rPr>
      </w:pPr>
      <w:r w:rsidRPr="008873EB">
        <w:rPr>
          <w:rFonts w:ascii="Times New Roman" w:hAnsi="Times New Roman" w:cs="Times New Roman"/>
          <w:sz w:val="26"/>
          <w:szCs w:val="26"/>
        </w:rPr>
        <w:t xml:space="preserve">   государственной регистрации, кадастра и картографии  по Республике Алтай</w:t>
      </w:r>
    </w:p>
    <w:sectPr w:rsidR="00572EE8" w:rsidRPr="00572EE8" w:rsidSect="001866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FD8"/>
    <w:multiLevelType w:val="hybridMultilevel"/>
    <w:tmpl w:val="605E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6BB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866BB"/>
    <w:rsid w:val="00194B68"/>
    <w:rsid w:val="001A2A49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72EE8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60EA9"/>
    <w:rsid w:val="00870F4E"/>
    <w:rsid w:val="008734DC"/>
    <w:rsid w:val="00881FCC"/>
    <w:rsid w:val="00882B94"/>
    <w:rsid w:val="008873EB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86902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60BD8"/>
    <w:rsid w:val="00D61AD6"/>
    <w:rsid w:val="00D64CB4"/>
    <w:rsid w:val="00D65C3C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5753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88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6BB"/>
  </w:style>
  <w:style w:type="character" w:styleId="a4">
    <w:name w:val="Hyperlink"/>
    <w:basedOn w:val="a0"/>
    <w:uiPriority w:val="99"/>
    <w:semiHidden/>
    <w:unhideWhenUsed/>
    <w:rsid w:val="001866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4</cp:revision>
  <cp:lastPrinted>2020-08-31T01:06:00Z</cp:lastPrinted>
  <dcterms:created xsi:type="dcterms:W3CDTF">2020-02-07T03:52:00Z</dcterms:created>
  <dcterms:modified xsi:type="dcterms:W3CDTF">2020-08-31T01:15:00Z</dcterms:modified>
</cp:coreProperties>
</file>